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rId57.png" ContentType="image/png"/>
  <Override PartName="/word/media/rId54.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Stereotactic Body</w:t>
            </w:r>
          </w:p>
        </w:tc>
        <w:tc>
          <w:p>
            <w:pPr>
              <w:pStyle w:val="Compact"/>
              <w:jc w:val="left"/>
            </w:pPr>
            <w:r>
              <w:t xml:space="preserve">SRT</w:t>
            </w:r>
          </w:p>
        </w:tc>
      </w:tr>
      <w:tr>
        <w:tc>
          <w:p>
            <w:pPr>
              <w:pStyle w:val="Compact"/>
              <w:jc w:val="left"/>
            </w:pPr>
            <w:r>
              <w:t xml:space="preserve">3-dimensional Image-Guided Brachytherapy</w:t>
            </w:r>
          </w:p>
        </w:tc>
        <w:tc>
          <w:p>
            <w:pPr>
              <w:pStyle w:val="Compact"/>
              <w:jc w:val="left"/>
            </w:pPr>
            <w:r>
              <w:t xml:space="preserve">3D-IGBT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Across all the GPs that are part of the RCA programme, there are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are 46,862 more RT specialists in all the countries that are part of RT RCA. This figure represents a growth of 231.9% in the period 2000 to 2020. And, 17 out of the 19 historically recipient countries (89%) consider that RCA contributed to certain extent to the increase of certified RT specialists between 2000 and 2020.</w:t>
      </w:r>
    </w:p>
    <w:p>
      <w:pPr>
        <w:numPr>
          <w:ilvl w:val="0"/>
          <w:numId w:val="1001"/>
        </w:numPr>
      </w:pPr>
      <w:r>
        <w:t xml:space="preserve">In 2000, there were approximately 2,009 operational RT equipment (linear accelerators and Cobalt 60 machines) across all the GPs that are part of the RT RCA programme. By 2020, this figure has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GPs that reported about the extent to which RCA contributed to the increase of the 5-year control rate between 2000 and 2020, considered that RT RCA had some positive impact to achieve this result.</w:t>
      </w:r>
    </w:p>
    <w:p>
      <w:pPr>
        <w:numPr>
          <w:ilvl w:val="0"/>
          <w:numId w:val="1001"/>
        </w:numPr>
      </w:pPr>
      <w:r>
        <w:t xml:space="preserve">The approximate average 5-year survival rate across all types of cancer increased 13.1 pp in 2020 with respect to 2020 across all GPs. The average survival rate was 37.7% in 2000 and 54.7% in 2020.</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Style w:val="Compact"/>
      </w:pPr>
      <w:r>
        <w:t xml:space="preserve">Increase in local control and life in years of patients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Achieve self-reliance in RT, including offering educational training programmes, and establishing Radio Oncology (RO) Departments and Societies.</w:t>
      </w:r>
    </w:p>
    <w:p>
      <w:pPr>
        <w:numPr>
          <w:ilvl w:val="0"/>
          <w:numId w:val="1005"/>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092"/>
        <w:gridCol w:w="3417"/>
        <w:gridCol w:w="1410"/>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level of self-reliance in RT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Xa19b0394a26e5b81282e8fc0f2858be5de15e18"/>
    <w:p>
      <w:pPr>
        <w:pStyle w:val="Heading2"/>
      </w:pPr>
      <w:r>
        <w:t xml:space="preserve">Criterion 1.2 Establish GP’s infrastructure to produce RT specialists</w:t>
      </w:r>
    </w:p>
    <w:p>
      <w:pPr>
        <w:numPr>
          <w:ilvl w:val="0"/>
          <w:numId w:val="1006"/>
        </w:numPr>
      </w:pPr>
      <w:r>
        <w:rPr>
          <w:bCs/>
          <w:b/>
        </w:rPr>
        <w:t xml:space="preserve">In 2020 there were, approximately, a total of 67,068 RT specialists across all the GPs that are part of RT RCA, from which 75.7% were certified specialists</w:t>
      </w:r>
      <w:r>
        <w:t xml:space="preserve">. The country with more RT specialists is China with 44,721 specialists followed by India and Japan who have trained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 Figure</w:t>
      </w:r>
      <w:r>
        <w:t xml:space="preserve"> </w:t>
      </w:r>
      <w:r>
        <w:t xml:space="preserve">5</w:t>
      </w:r>
      <w:r>
        <w:t xml:space="preserve"> </w:t>
      </w:r>
      <w:r>
        <w:t xml:space="preserve">shows the total number of RT specialist by GP and the proportion of specialists that are certified in 2020.</w:t>
      </w:r>
    </w:p>
    <w:p>
      <w:pPr>
        <w:pStyle w:val="FirstParagraph"/>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shows the distribution of</w:t>
      </w:r>
      <w:r>
        <w:t xml:space="preserve"> </w:t>
      </w:r>
      <w:r>
        <w:rPr>
          <w:bCs/>
          <w:b/>
        </w:rPr>
        <w:t xml:space="preserve">certified</w:t>
      </w:r>
      <w:r>
        <w:t xml:space="preserve"> </w:t>
      </w:r>
      <w:r>
        <w:t xml:space="preserve">specialists by method and by GP in 2020 (</w:t>
      </w:r>
      <w:r>
        <w:rPr>
          <w:iCs/>
          <w:i/>
        </w:rPr>
        <w:t xml:space="preserve">to make the distribution of specialists easier to read, the Figure excludes China because it has a much larger number of specialists than the rest of the GPs)</w:t>
      </w:r>
      <w:r>
        <w:t xml:space="preserve">.</w:t>
      </w:r>
    </w:p>
    <w:p>
      <w:pPr>
        <w:pStyle w:val="BodyText"/>
      </w:pPr>
      <w:r>
        <w:t xml:space="preserve">As can be seen in the figure,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p>
      <w:pPr>
        <w:pStyle w:val="BodyText"/>
      </w:pPr>
      <w:r>
        <w:rPr>
          <w:iCs/>
          <w:i/>
        </w:rPr>
        <w:t xml:space="preserve">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To assess the contribution of RCA in the establishment of training programmes, RO departments, RO societies, and the production of RT specialists the participants of the online survey were asked the extent to which they perceived that the RCA has contributed to the establishment of this infrastructure in their countries. The main findings in this respect are the following:</w:t>
      </w:r>
    </w:p>
    <w:p>
      <w:pPr>
        <w:numPr>
          <w:ilvl w:val="0"/>
          <w:numId w:val="1007"/>
        </w:numPr>
      </w:pPr>
      <w:r>
        <w:rPr>
          <w:bCs/>
          <w:b/>
        </w:rPr>
        <w:t xml:space="preserve">From the 17 GPs for which a training programme is available in their countries, 8 (47%) reported that RCA contributed to a great extent in their establishment, and 6 that RCA’s support contributed to some extent</w:t>
      </w:r>
      <w:r>
        <w:t xml:space="preserve">. 2 countries reported that the training programmes could had been available even without the support from RCA, one of these countries is New Zealand which is a non-recipient country.</w:t>
      </w:r>
    </w:p>
    <w:p>
      <w:pPr>
        <w:numPr>
          <w:ilvl w:val="0"/>
          <w:numId w:val="1007"/>
        </w:numPr>
      </w:pPr>
      <w:r>
        <w:t xml:space="preserve">73% of the GPs where an RO Department has been established reported that RCA contributed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7"/>
        </w:numPr>
      </w:pPr>
      <w:r>
        <w:rPr>
          <w:bCs/>
          <w:b/>
        </w:rPr>
        <w:t xml:space="preserve">China, Japan, Mongolia,Philippines, and Sri Lanka, Vietnam reported that RCA contribution was key to the establishment of their RO societies</w:t>
      </w:r>
      <w:r>
        <w:t xml:space="preserve">.</w:t>
      </w:r>
    </w:p>
    <w:p>
      <w:pPr>
        <w:numPr>
          <w:ilvl w:val="0"/>
          <w:numId w:val="1007"/>
        </w:numPr>
      </w:pPr>
      <w:r>
        <w:t xml:space="preserve">9 out of the 19 historically recipient countries that participated in the survey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(89%) consider that RCA contributed to the increase of certified RT specialists between 2000 and 2020</w:t>
      </w:r>
      <w:r>
        <w:t xml:space="preserve">.</w:t>
      </w:r>
    </w:p>
    <w:p>
      <w:pPr>
        <w:numPr>
          <w:ilvl w:val="0"/>
          <w:numId w:val="1007"/>
        </w:numPr>
      </w:pPr>
      <w:r>
        <w:t xml:space="preserve">Only Australia, Palau, and New Zealand did not report that RCA has contributed somehow to the strengthening of their RT workforce. Australia and New Zealand have acted historically as non-recipients, and Palau joined RT RCA in 2019.</w:t>
      </w:r>
    </w:p>
    <w:p>
      <w:pPr>
        <w:pStyle w:val="FirstParagraph"/>
      </w:pPr>
      <w:r>
        <w:t xml:space="preserve">The detailed contribution of RCA to the GP’s self-reliance can be seen in Figure</w:t>
      </w:r>
      <w:r>
        <w:t xml:space="preserve"> </w:t>
      </w:r>
      <w:r>
        <w:t xml:space="preserve">8</w:t>
      </w:r>
      <w:r>
        <w:t xml:space="preserve">.</w:t>
      </w:r>
    </w:p>
    <w:p>
      <w:pPr>
        <w:pStyle w:val="BodyText"/>
      </w:pPr>
      <w:r>
        <w:rPr>
          <w:iCs/>
          <w:i/>
        </w:rPr>
        <w:t xml:space="preserve">The labels within the boxes represent the total number of training programmes, RO departments, RO societies, and RT specialists that each GP reported for the 2020 period. The white boxes indicate that those GPs did not provide information to the online survey about their perception of RCA’s contribution in that dimension</w:t>
      </w:r>
    </w:p>
    <w:p>
      <w:pPr>
        <w:pStyle w:val="CaptionedFigure"/>
      </w:pPr>
      <w:r>
        <w:drawing>
          <wp:inline>
            <wp:extent cx="5219700" cy="1896611"/>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w:t>
      </w:r>
    </w:p>
    <w:p>
      <w:pPr>
        <w:pStyle w:val="BodyText"/>
      </w:pPr>
      <w:r>
        <w:rPr>
          <w:bCs/>
          <w:b/>
        </w:rPr>
        <w:t xml:space="preserve">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 China is the country where more operational RT equipment is available (2,087 machines), followed by Japan that has 936 RT machines, and India (513 linear accelerators and Cobalt 60 machines).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in this period. However, in terms of relative terms, the largest increase was observed for Vietnam which reported to have 733.3% more RT equipment in 2020 in relation to 2020.</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made about the total number of cancer patients treated and the approximate average waiting times for the patients to be treated.</w:t>
      </w:r>
    </w:p>
    <w:bookmarkStart w:id="46" w:name="X07ebbaf08a53870f25ba81cc9c805c948810dd1"/>
    <w:p>
      <w:pPr>
        <w:pStyle w:val="Heading4"/>
      </w:pPr>
      <w:r>
        <w:t xml:space="preserve">Cancer patients treated using domestic RT</w:t>
      </w:r>
    </w:p>
    <w:p>
      <w:pPr>
        <w:pStyle w:val="FirstParagraph"/>
      </w:pPr>
      <w:r>
        <w:t xml:space="preserve">Approximately, across all the GPs that are part of RT RCA,</w:t>
      </w:r>
      <w:r>
        <w:t xml:space="preserve"> </w:t>
      </w:r>
      <w:r>
        <w:rPr>
          <w:bCs/>
          <w:b/>
        </w:rPr>
        <w:t xml:space="preserve">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across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w:t>
      </w:r>
    </w:p>
    <w:p>
      <w:pPr>
        <w:pStyle w:val="BodyText"/>
      </w:pPr>
      <w:r>
        <w:rPr>
          <w:bCs/>
          <w:b/>
        </w:rPr>
        <w:t xml:space="preserve">The proportion of patients that experienced less than 10 days of waiting time increased from 58.6 % in 2000 to 60.8 % in 2020</w:t>
      </w:r>
      <w:r>
        <w:t xml:space="preserve">. In countries like Cambodia, Philippines, South Korea, and Vietnam more than 80% of the patients are treated in less than 10 days. The proportion of patients that are treated below this threshold increased for all countries except for Mongolia, Bangladesh, and Pakistan. The proportion is the same between 2000 and 2020 for New Zealand, Singapore, and Sri Lanka.</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Style w:val="Compact"/>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 also 11 that being part of the programme contributed to the introduction of 3-dimensional Conformal Radiation Therapy (3D-CRT) (Bangladesh, Cambodia, China, India, Indonesia, Malaysia, Mongolia, Myanmar, Philippines, Thailand, and Vietnam). Only China, and Philippines reported that RT RCA contributed to introduce Particle Therapy to their countries.</w:t>
      </w:r>
    </w:p>
    <w:p>
      <w:pPr>
        <w:pStyle w:val="FirstParagraph"/>
      </w:pPr>
      <w:r>
        <w:rPr>
          <w:iCs/>
          <w:i/>
        </w:rPr>
        <w:t xml:space="preserve">In the chart below, the acronyms stand for: Stereotactic Body radiation Therapy (SRT), and 3-dimensional Image-Guided Brachytherapy (3D-IGBT)</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10"/>
        </w:numPr>
      </w:pPr>
      <w:r>
        <w:rPr>
          <w:bCs/>
          <w:b/>
        </w:rPr>
        <w:t xml:space="preserve">6 out the 19 recipient GPs Cambodia, Malaysia, Myanmar, Nepal, Philippines, and Vietnam reported that CA RT cause their country to invest in additional RT equipment</w:t>
      </w:r>
      <w:r>
        <w:t xml:space="preserve"> </w:t>
      </w:r>
      <w:r>
        <w:t xml:space="preserve">(linear accelerators and Cobalt 60 machines) between 2000 and 2020.</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rPr>
          <w:bCs/>
          <w:b/>
        </w:rPr>
        <w:t xml:space="preserve">75% of the GPs reorted that RCA contributed somehow to the decrease in the average waiting time for treatment</w:t>
      </w:r>
      <w:r>
        <w:t xml:space="preserve">. Philippines, and Vietnam perceived that RCA contributed to a great extent to reduce the average waiting time of treatment. Figure</w:t>
      </w:r>
      <w:r>
        <w:t xml:space="preserve"> </w:t>
      </w:r>
      <w:r>
        <w:t xml:space="preserve">13</w:t>
      </w:r>
      <w:r>
        <w:t xml:space="preserve"> </w:t>
      </w:r>
      <w:r>
        <w:t xml:space="preserve">shows the perception of each GP on the contribution of RCA to the decrease of waiting times. *Australia, India, Laos, Myanmar, and Palau did not reported this information during the online survey**</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59"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or survival data</w:t>
      </w:r>
    </w:p>
    <w:p>
      <w:pPr>
        <w:numPr>
          <w:ilvl w:val="0"/>
          <w:numId w:val="1011"/>
        </w:numPr>
      </w:pPr>
      <w:r>
        <w:t xml:space="preserve">Increase life-years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5" w:name="Xc35e1abf7f704616a84ad2afd657de81e2a0c18"/>
    <w:p>
      <w:pPr>
        <w:pStyle w:val="Heading2"/>
      </w:pPr>
      <w:r>
        <w:t xml:space="preserve">Criterion 3.1 Increase in local control or survival data</w:t>
      </w:r>
    </w:p>
    <w:p>
      <w:pPr>
        <w:pStyle w:val="CaptionedFigure"/>
      </w:pPr>
      <w:r>
        <w:drawing>
          <wp:inline>
            <wp:extent cx="4544290" cy="3519054"/>
            <wp:effectExtent b="0" l="0" r="0" t="0"/>
            <wp:docPr descr="Figure 14: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Approximate average 5-year control rate in 2000 and 2020 by GP.</w:t>
      </w:r>
    </w:p>
    <w:p>
      <w:pPr>
        <w:pStyle w:val="BodyText"/>
      </w:pPr>
      <w:r>
        <w:t xml:space="preserve">Figure</w:t>
      </w:r>
      <w:r>
        <w:t xml:space="preserve"> </w:t>
      </w:r>
      <w:r>
        <w:t xml:space="preserve">14</w:t>
      </w:r>
      <w:r>
        <w:t xml:space="preserve"> </w:t>
      </w:r>
      <w:r>
        <w:t xml:space="preserve">above, shows the average 5-year local control rate in 2000 and 2020.</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t xml:space="preserve">There was an increase in the average 5-year local control rate for all the GPs that reported information on this indicator, except for Myanmar that reported a 60% average rate for both periods, 2000 and 2020.</w:t>
      </w:r>
    </w:p>
    <w:p>
      <w:pPr>
        <w:pStyle w:val="BodyText"/>
      </w:pPr>
      <w:r>
        <w:t xml:space="preserve">As can be seen in Figure</w:t>
      </w:r>
      <w:r>
        <w:t xml:space="preserve"> </w:t>
      </w:r>
      <w:r>
        <w:t xml:space="preserve">14</w:t>
      </w:r>
      <w:r>
        <w:t xml:space="preserve">,</w:t>
      </w:r>
      <w:r>
        <w:t xml:space="preserve"> </w:t>
      </w:r>
      <w:r>
        <w:rPr>
          <w:bCs/>
          <w:b/>
        </w:rPr>
        <w:t xml:space="preserve">the approximate average 5-year local control rate across all GPs in 2000 and 2020 was 39.1% and 54.7% respectively. Which implies an increase of 15.6 pp (percentage points) in 2020 with respect to 2000</w:t>
      </w:r>
      <w:r>
        <w:t xml:space="preserve">.</w:t>
      </w:r>
    </w:p>
    <w:p>
      <w:pPr>
        <w:pStyle w:val="BodyText"/>
      </w:pPr>
      <w:r>
        <w:t xml:space="preserve">The GPs that reported the highest 5-year local control in 2020 are Sri Lanka (80%), Singapore (80%), and Philippines (75%).</w:t>
      </w:r>
    </w:p>
    <w:p>
      <w:pPr>
        <w:pStyle w:val="BodyText"/>
      </w:pPr>
      <w:r>
        <w:rPr>
          <w:iCs/>
          <w:i/>
        </w:rPr>
        <w:t xml:space="preserve">Australia, Laos, Mongolia, New Zealand, and Palau did not report information about the average 5-year control rates during the online survey</w:t>
      </w:r>
    </w:p>
    <w:bookmarkEnd w:id="55"/>
    <w:bookmarkStart w:id="56" w:name="criterion-3.2-increase-life-years"/>
    <w:p>
      <w:pPr>
        <w:pStyle w:val="Heading2"/>
      </w:pPr>
      <w:r>
        <w:t xml:space="preserve">Criterion 3.2 Increase life-years</w:t>
      </w:r>
    </w:p>
    <w:p>
      <w:pPr>
        <w:pStyle w:val="FirstParagraph"/>
      </w:pPr>
      <w:r>
        <w:t xml:space="preserve">As can be seen in Figure</w:t>
      </w:r>
      <w:r>
        <w:t xml:space="preserve"> </w:t>
      </w:r>
      <w:r>
        <w:t xml:space="preserve">15</w:t>
      </w:r>
      <w:r>
        <w:t xml:space="preserve">,</w:t>
      </w:r>
      <w:r>
        <w:t xml:space="preserve"> </w:t>
      </w:r>
      <w:r>
        <w:rPr>
          <w:bCs/>
          <w:b/>
        </w:rPr>
        <w:t xml:space="preserve">the approximate average 5-year survival rate across all types of cancer increased 13.1 pp in 2020 with respect to 2020 across all GPs</w:t>
      </w:r>
      <w:r>
        <w:t xml:space="preserve">. The average survival rate was 37.7% in 2000 and 54.7% in 2020.</w:t>
      </w:r>
    </w:p>
    <w:p>
      <w:pPr>
        <w:pStyle w:val="BodyText"/>
      </w:pPr>
      <w:r>
        <w:t xml:space="preserve">The survival rate increased for all countries that reported this information during the online survey and the GPs that reported a highest 5-year survival rate are Philippines, Singapore, and South Korea (70%)</w:t>
      </w:r>
    </w:p>
    <w:p>
      <w:pPr>
        <w:pStyle w:val="BodyText"/>
      </w:pPr>
      <w:r>
        <w:rPr>
          <w:iCs/>
          <w:i/>
        </w:rPr>
        <w:t xml:space="preserve">Australia, and Laos did not information about survival rates during the online survey</w:t>
      </w:r>
      <w:r>
        <w:t xml:space="preserve">.</w:t>
      </w:r>
    </w:p>
    <w:p>
      <w:pPr>
        <w:pStyle w:val="CaptionedFigure"/>
      </w:pPr>
      <w:r>
        <w:drawing>
          <wp:inline>
            <wp:extent cx="4544290" cy="3519054"/>
            <wp:effectExtent b="0" l="0" r="0" t="0"/>
            <wp:docPr descr="Figure 15: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15: Approximate average 5-year control rate in 2000 and 2020 by GP.</w:t>
      </w:r>
    </w:p>
    <w:bookmarkEnd w:id="56"/>
    <w:bookmarkStart w:id="58" w:name="Xc0350d9bf61b80e66aa5fa0ed7be284fb46dca5"/>
    <w:p>
      <w:pPr>
        <w:pStyle w:val="Heading2"/>
      </w:pPr>
      <w:r>
        <w:t xml:space="preserve">Contribution of RCA on increasing life span and quality of life</w:t>
      </w:r>
    </w:p>
    <w:p>
      <w:pPr>
        <w:numPr>
          <w:ilvl w:val="0"/>
          <w:numId w:val="1012"/>
        </w:numPr>
      </w:pPr>
      <w:r>
        <w:rPr>
          <w:bCs/>
          <w:b/>
        </w:rPr>
        <w:t xml:space="preserve">93% of the GPs that reported about the extent to which RCA contributed to the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increase.</w:t>
      </w:r>
    </w:p>
    <w:p>
      <w:pPr>
        <w:numPr>
          <w:ilvl w:val="0"/>
          <w:numId w:val="1012"/>
        </w:numPr>
      </w:pPr>
      <w:r>
        <w:t xml:space="preserve">86.6% of the GPs that reported about the extent to which RT RCA contributed to increase the 5-year survival rate between 2000 and 2020 in their countries, considered that the RT RCA support contributed to it. Only Pakistan and New Zealand reported that RT RCA had no impact on this.</w:t>
      </w:r>
    </w:p>
    <w:p>
      <w:pPr>
        <w:numPr>
          <w:ilvl w:val="0"/>
          <w:numId w:val="1012"/>
        </w:numPr>
      </w:pPr>
      <w:r>
        <w:t xml:space="preserve">11 GPs reported that RT RCA had from a moderate to a large impact in increasing he 5-year survival rate between 2000 and 2020 in their countries (Bangladesh, Cambodia, China, Indonesia, Nepal, Malaysia, Philippines, Japan, South Korea, Sri Lanka, and Vietnam.)</w:t>
      </w:r>
    </w:p>
    <w:p>
      <w:pPr>
        <w:pStyle w:val="FirstParagraph"/>
      </w:pPr>
      <w:r>
        <w:rPr>
          <w:iCs/>
          <w:i/>
        </w:rPr>
        <w:t xml:space="preserve">The figures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p>
    <w:p>
      <w:pPr>
        <w:pStyle w:val="CaptionedFigure"/>
      </w:pPr>
      <w:r>
        <w:drawing>
          <wp:inline>
            <wp:extent cx="5219700" cy="1896611"/>
            <wp:effectExtent b="0" l="0" r="0" t="0"/>
            <wp:docPr descr="Figure 16: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57"/>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RCA impact to increase 5-year survival and control rates by GP.</w:t>
      </w:r>
    </w:p>
    <w:p>
      <w:r>
        <w:br w:type="page"/>
      </w:r>
    </w:p>
    <w:bookmarkEnd w:id="58"/>
    <w:bookmarkEnd w:id="59"/>
    <w:bookmarkStart w:id="60" w:name="overall-impact-of-the-rt-rca-programme"/>
    <w:p>
      <w:pPr>
        <w:pStyle w:val="Heading1"/>
      </w:pPr>
      <w:r>
        <w:t xml:space="preserve">Overall impact of the RT RCA programme</w:t>
      </w:r>
    </w:p>
    <w:bookmarkEnd w:id="60"/>
    <w:bookmarkStart w:id="61"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3"/>
              </w:numPr>
              <w:jc w:val="left"/>
            </w:pPr>
            <w:r>
              <w:t xml:space="preserve">NDT Society is registered with APFNDT and ICNDT</w:t>
            </w:r>
          </w:p>
          <w:p>
            <w:pPr>
              <w:numPr>
                <w:ilvl w:val="0"/>
                <w:numId w:val="1013"/>
              </w:numPr>
              <w:jc w:val="left"/>
            </w:pPr>
            <w:r>
              <w:t xml:space="preserve">The society is a signatory to ICNDT MRA</w:t>
            </w:r>
          </w:p>
          <w:p>
            <w:pPr>
              <w:numPr>
                <w:ilvl w:val="0"/>
                <w:numId w:val="1013"/>
              </w:numPr>
              <w:jc w:val="left"/>
            </w:pPr>
            <w:r>
              <w:t xml:space="preserve">NCB for NDT accredited to ISO 17024</w:t>
            </w:r>
          </w:p>
          <w:p>
            <w:pPr>
              <w:numPr>
                <w:ilvl w:val="0"/>
                <w:numId w:val="1013"/>
              </w:numPr>
              <w:jc w:val="left"/>
            </w:pPr>
            <w:r>
              <w:t xml:space="preserve">NCB accepted for registration under the ICNDT MRA</w:t>
            </w:r>
          </w:p>
          <w:p>
            <w:pPr>
              <w:numPr>
                <w:ilvl w:val="0"/>
                <w:numId w:val="1013"/>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4"/>
              </w:numPr>
              <w:jc w:val="left"/>
            </w:pPr>
            <w:r>
              <w:t xml:space="preserve">NDT Society has been established</w:t>
            </w:r>
          </w:p>
          <w:p>
            <w:pPr>
              <w:numPr>
                <w:ilvl w:val="0"/>
                <w:numId w:val="1014"/>
              </w:numPr>
              <w:jc w:val="left"/>
            </w:pPr>
            <w:r>
              <w:t xml:space="preserve">National certification body on NDT has been established.</w:t>
            </w:r>
          </w:p>
          <w:p>
            <w:pPr>
              <w:numPr>
                <w:ilvl w:val="0"/>
                <w:numId w:val="1014"/>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54" Target="media/rId5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2021-09-23T10:53:17Z</dcterms:created>
  <dcterms:modified xsi:type="dcterms:W3CDTF">2021-09-23T10:53:17Z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